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28777" w14:textId="77777777" w:rsidR="00183C45" w:rsidRPr="00183C45" w:rsidRDefault="00183C45" w:rsidP="00183C45">
      <w:r w:rsidRPr="00183C45">
        <w:t>To</w:t>
      </w:r>
      <w:r w:rsidRPr="00183C45">
        <w:br/>
        <w:t>The IFRS Interpretations Committee</w:t>
      </w:r>
      <w:r w:rsidRPr="00183C45">
        <w:br/>
        <w:t>IFRS Foundation</w:t>
      </w:r>
    </w:p>
    <w:p w14:paraId="6D03B1D3" w14:textId="77777777" w:rsidR="00183C45" w:rsidRPr="00183C45" w:rsidRDefault="00183C45" w:rsidP="00183C45">
      <w:r w:rsidRPr="00183C45">
        <w:rPr>
          <w:b/>
          <w:bCs/>
        </w:rPr>
        <w:t>Subject:</w:t>
      </w:r>
      <w:r w:rsidRPr="00183C45">
        <w:t xml:space="preserve"> Comments on Tentative Agenda Decision – Fair Presentation and Compliance with IFRS Accounting Standards (IAS 1)</w:t>
      </w:r>
    </w:p>
    <w:p w14:paraId="41C9E470" w14:textId="77777777" w:rsidR="00183C45" w:rsidRPr="00183C45" w:rsidRDefault="00183C45" w:rsidP="00183C45">
      <w:r w:rsidRPr="00183C45">
        <w:t>Dear Sir/Madam,</w:t>
      </w:r>
    </w:p>
    <w:p w14:paraId="794D6F08" w14:textId="77777777" w:rsidR="00183C45" w:rsidRPr="00183C45" w:rsidRDefault="00183C45" w:rsidP="00183C45">
      <w:r w:rsidRPr="00183C45">
        <w:t xml:space="preserve">We appreciate the opportunity to comment on the Tentative Agenda Decision (TAD) issued by the IFRS Interpretations Committee relating to the interaction between </w:t>
      </w:r>
      <w:r w:rsidRPr="00183C45">
        <w:rPr>
          <w:b/>
          <w:bCs/>
        </w:rPr>
        <w:t>fair presentation (paragraphs 15–24 of IAS 1)</w:t>
      </w:r>
      <w:r w:rsidRPr="00183C45">
        <w:t xml:space="preserve"> and </w:t>
      </w:r>
      <w:r w:rsidRPr="00183C45">
        <w:rPr>
          <w:b/>
          <w:bCs/>
        </w:rPr>
        <w:t>departure from an IFRS Accounting Standard in extremely rare circumstances (paragraph 19 of IAS 1)</w:t>
      </w:r>
      <w:r w:rsidRPr="00183C45">
        <w:t>.</w:t>
      </w:r>
    </w:p>
    <w:p w14:paraId="2AA977A6" w14:textId="77777777" w:rsidR="00183C45" w:rsidRPr="00183C45" w:rsidRDefault="00183C45" w:rsidP="00183C45">
      <w:r w:rsidRPr="00183C45">
        <w:t>Our detailed and comparative observations are set out below.</w:t>
      </w:r>
    </w:p>
    <w:p w14:paraId="425FEAF4" w14:textId="77777777" w:rsidR="00183C45" w:rsidRPr="00183C45" w:rsidRDefault="00C047BC" w:rsidP="00183C45">
      <w:r>
        <w:pict w14:anchorId="10151464">
          <v:rect id="_x0000_i1025" style="width:0;height:1.5pt" o:hralign="center" o:hrstd="t" o:hr="t" fillcolor="#a0a0a0" stroked="f"/>
        </w:pict>
      </w:r>
    </w:p>
    <w:p w14:paraId="74C56FB3" w14:textId="77777777" w:rsidR="00183C45" w:rsidRPr="00183C45" w:rsidRDefault="00183C45" w:rsidP="00183C45">
      <w:pPr>
        <w:rPr>
          <w:b/>
          <w:bCs/>
        </w:rPr>
      </w:pPr>
      <w:r w:rsidRPr="00183C45">
        <w:rPr>
          <w:b/>
          <w:bCs/>
        </w:rPr>
        <w:t>1. Agreement with the Core Principle of the TAD</w:t>
      </w:r>
    </w:p>
    <w:p w14:paraId="555B16CB" w14:textId="77777777" w:rsidR="00183C45" w:rsidRPr="00183C45" w:rsidRDefault="00183C45" w:rsidP="00183C45">
      <w:r w:rsidRPr="00183C45">
        <w:t xml:space="preserve">We agree with the Committee’s conclusion that an entity that departs from a requirement of an IFRS Accounting Standard under </w:t>
      </w:r>
      <w:r w:rsidRPr="00183C45">
        <w:rPr>
          <w:b/>
          <w:bCs/>
        </w:rPr>
        <w:t>IAS 1 paragraph 19</w:t>
      </w:r>
      <w:r w:rsidRPr="00183C45">
        <w:t xml:space="preserve"> is </w:t>
      </w:r>
      <w:r w:rsidRPr="00183C45">
        <w:rPr>
          <w:b/>
          <w:bCs/>
        </w:rPr>
        <w:t>nonetheless required to comply with the overarching requirement of fair presentation under paragraph 15</w:t>
      </w:r>
      <w:r w:rsidRPr="00183C45">
        <w:t>.</w:t>
      </w:r>
    </w:p>
    <w:p w14:paraId="228651D3" w14:textId="77777777" w:rsidR="00183C45" w:rsidRPr="00183C45" w:rsidRDefault="00183C45" w:rsidP="00183C45">
      <w:r w:rsidRPr="00183C45">
        <w:t xml:space="preserve">This conclusion is consistent with the </w:t>
      </w:r>
      <w:r w:rsidRPr="00183C45">
        <w:rPr>
          <w:b/>
          <w:bCs/>
        </w:rPr>
        <w:t>hierarchical structure of IAS 1</w:t>
      </w:r>
      <w:r w:rsidRPr="00183C45">
        <w:t>, where:</w:t>
      </w:r>
    </w:p>
    <w:p w14:paraId="15FDCA98" w14:textId="77777777" w:rsidR="00183C45" w:rsidRPr="00183C45" w:rsidRDefault="00183C45" w:rsidP="00183C45">
      <w:pPr>
        <w:numPr>
          <w:ilvl w:val="0"/>
          <w:numId w:val="1"/>
        </w:numPr>
      </w:pPr>
      <w:r w:rsidRPr="00183C45">
        <w:t xml:space="preserve">fair presentation is a </w:t>
      </w:r>
      <w:r w:rsidRPr="00183C45">
        <w:rPr>
          <w:b/>
          <w:bCs/>
        </w:rPr>
        <w:t>fundamental objective</w:t>
      </w:r>
      <w:r w:rsidRPr="00183C45">
        <w:t>, and</w:t>
      </w:r>
    </w:p>
    <w:p w14:paraId="4451F2E0" w14:textId="77777777" w:rsidR="00183C45" w:rsidRPr="00183C45" w:rsidRDefault="00183C45" w:rsidP="00183C45">
      <w:pPr>
        <w:numPr>
          <w:ilvl w:val="0"/>
          <w:numId w:val="1"/>
        </w:numPr>
      </w:pPr>
      <w:r w:rsidRPr="00183C45">
        <w:t xml:space="preserve">departure from specific requirements is an </w:t>
      </w:r>
      <w:r w:rsidRPr="00183C45">
        <w:rPr>
          <w:b/>
          <w:bCs/>
        </w:rPr>
        <w:t>exceptional mechanism</w:t>
      </w:r>
      <w:r w:rsidRPr="00183C45">
        <w:t>, not an override of that objective.</w:t>
      </w:r>
    </w:p>
    <w:p w14:paraId="16DF440F" w14:textId="77777777" w:rsidR="00183C45" w:rsidRPr="00183C45" w:rsidRDefault="00C047BC" w:rsidP="00183C45">
      <w:r>
        <w:pict w14:anchorId="13BBEA11">
          <v:rect id="_x0000_i1026" style="width:0;height:1.5pt" o:hralign="center" o:hrstd="t" o:hr="t" fillcolor="#a0a0a0" stroked="f"/>
        </w:pict>
      </w:r>
    </w:p>
    <w:p w14:paraId="0E42AE45" w14:textId="77777777" w:rsidR="00183C45" w:rsidRPr="00183C45" w:rsidRDefault="00183C45" w:rsidP="00183C45">
      <w:pPr>
        <w:rPr>
          <w:b/>
          <w:bCs/>
        </w:rPr>
      </w:pPr>
      <w:r w:rsidRPr="00183C45">
        <w:rPr>
          <w:b/>
          <w:bCs/>
        </w:rPr>
        <w:t>2. Comparative Analysis: IAS 1 Paragraph 15 vs Paragraph 19</w:t>
      </w:r>
    </w:p>
    <w:p w14:paraId="2F245719" w14:textId="77777777" w:rsidR="00183C45" w:rsidRPr="00183C45" w:rsidRDefault="00183C45" w:rsidP="00183C45">
      <w:pPr>
        <w:rPr>
          <w:b/>
          <w:bCs/>
        </w:rPr>
      </w:pPr>
      <w:r w:rsidRPr="00183C45">
        <w:rPr>
          <w:b/>
          <w:bCs/>
        </w:rPr>
        <w:t>(a) Paragraph 15 – Foundational Requirement</w:t>
      </w:r>
    </w:p>
    <w:p w14:paraId="202E1F3E" w14:textId="77777777" w:rsidR="00183C45" w:rsidRPr="00183C45" w:rsidRDefault="00183C45" w:rsidP="00183C45">
      <w:r w:rsidRPr="00183C45">
        <w:t xml:space="preserve">Paragraph 15 establishes fair presentation as a </w:t>
      </w:r>
      <w:r w:rsidRPr="00183C45">
        <w:rPr>
          <w:b/>
          <w:bCs/>
        </w:rPr>
        <w:t>non-negotiable principle</w:t>
      </w:r>
      <w:r w:rsidRPr="00183C45">
        <w:t>, requiring faithful representation of:</w:t>
      </w:r>
    </w:p>
    <w:p w14:paraId="24715A1A" w14:textId="77777777" w:rsidR="00183C45" w:rsidRPr="00183C45" w:rsidRDefault="00183C45" w:rsidP="00183C45">
      <w:pPr>
        <w:numPr>
          <w:ilvl w:val="0"/>
          <w:numId w:val="2"/>
        </w:numPr>
      </w:pPr>
      <w:r w:rsidRPr="00183C45">
        <w:t>transactions,</w:t>
      </w:r>
    </w:p>
    <w:p w14:paraId="2B9A6359" w14:textId="77777777" w:rsidR="00183C45" w:rsidRPr="00183C45" w:rsidRDefault="00183C45" w:rsidP="00183C45">
      <w:pPr>
        <w:numPr>
          <w:ilvl w:val="0"/>
          <w:numId w:val="2"/>
        </w:numPr>
      </w:pPr>
      <w:r w:rsidRPr="00183C45">
        <w:t>events, and</w:t>
      </w:r>
    </w:p>
    <w:p w14:paraId="5CE2273F" w14:textId="77777777" w:rsidR="00183C45" w:rsidRPr="00183C45" w:rsidRDefault="00183C45" w:rsidP="00183C45">
      <w:pPr>
        <w:numPr>
          <w:ilvl w:val="0"/>
          <w:numId w:val="2"/>
        </w:numPr>
      </w:pPr>
      <w:r w:rsidRPr="00183C45">
        <w:t>conditions,</w:t>
      </w:r>
      <w:r w:rsidRPr="00183C45">
        <w:br/>
        <w:t xml:space="preserve">in accordance with the </w:t>
      </w:r>
      <w:r w:rsidRPr="00183C45">
        <w:rPr>
          <w:b/>
          <w:bCs/>
        </w:rPr>
        <w:t>Conceptual Framework</w:t>
      </w:r>
      <w:r w:rsidRPr="00183C45">
        <w:t>.</w:t>
      </w:r>
    </w:p>
    <w:p w14:paraId="6B087486" w14:textId="77777777" w:rsidR="00183C45" w:rsidRPr="00183C45" w:rsidRDefault="00183C45" w:rsidP="00183C45">
      <w:r w:rsidRPr="00183C45">
        <w:t xml:space="preserve">This requirement applies </w:t>
      </w:r>
      <w:r w:rsidRPr="00183C45">
        <w:rPr>
          <w:b/>
          <w:bCs/>
        </w:rPr>
        <w:t>in all circumstances</w:t>
      </w:r>
      <w:r w:rsidRPr="00183C45">
        <w:t>, without exception.</w:t>
      </w:r>
    </w:p>
    <w:p w14:paraId="3E6B3450" w14:textId="77777777" w:rsidR="00183C45" w:rsidRPr="00183C45" w:rsidRDefault="00183C45" w:rsidP="00183C45">
      <w:pPr>
        <w:rPr>
          <w:b/>
          <w:bCs/>
        </w:rPr>
      </w:pPr>
      <w:r w:rsidRPr="00183C45">
        <w:rPr>
          <w:b/>
          <w:bCs/>
        </w:rPr>
        <w:t>(b) Paragraph 19 – Exception, Not Supremacy</w:t>
      </w:r>
    </w:p>
    <w:p w14:paraId="31C2AFD0" w14:textId="77777777" w:rsidR="00183C45" w:rsidRPr="00183C45" w:rsidRDefault="00183C45" w:rsidP="00183C45">
      <w:r w:rsidRPr="00183C45">
        <w:t>Paragraph 19 permits departure from a specific IFRS requirement only when:</w:t>
      </w:r>
    </w:p>
    <w:p w14:paraId="14DF94BC" w14:textId="77777777" w:rsidR="00183C45" w:rsidRPr="00183C45" w:rsidRDefault="00183C45" w:rsidP="00183C45">
      <w:pPr>
        <w:numPr>
          <w:ilvl w:val="0"/>
          <w:numId w:val="3"/>
        </w:numPr>
      </w:pPr>
      <w:r w:rsidRPr="00183C45">
        <w:t xml:space="preserve">compliance would be </w:t>
      </w:r>
      <w:r w:rsidRPr="00183C45">
        <w:rPr>
          <w:b/>
          <w:bCs/>
        </w:rPr>
        <w:t>so misleading</w:t>
      </w:r>
      <w:r w:rsidRPr="00183C45">
        <w:t xml:space="preserve"> that it would conflict with the objective of financial statements.</w:t>
      </w:r>
    </w:p>
    <w:p w14:paraId="60599F6D" w14:textId="77777777" w:rsidR="00183C45" w:rsidRPr="00183C45" w:rsidRDefault="00183C45" w:rsidP="00183C45">
      <w:r w:rsidRPr="00183C45">
        <w:t>Importantly, paragraph 19:</w:t>
      </w:r>
    </w:p>
    <w:p w14:paraId="6945FC1A" w14:textId="77777777" w:rsidR="00183C45" w:rsidRPr="00183C45" w:rsidRDefault="00183C45" w:rsidP="00183C45">
      <w:pPr>
        <w:numPr>
          <w:ilvl w:val="0"/>
          <w:numId w:val="4"/>
        </w:numPr>
      </w:pPr>
      <w:r w:rsidRPr="00183C45">
        <w:t xml:space="preserve">does </w:t>
      </w:r>
      <w:r w:rsidRPr="00183C45">
        <w:rPr>
          <w:b/>
          <w:bCs/>
        </w:rPr>
        <w:t>not suspend</w:t>
      </w:r>
      <w:r w:rsidRPr="00183C45">
        <w:t xml:space="preserve"> paragraph 15;</w:t>
      </w:r>
    </w:p>
    <w:p w14:paraId="3CE553AD" w14:textId="77777777" w:rsidR="00183C45" w:rsidRPr="00183C45" w:rsidRDefault="00183C45" w:rsidP="00183C45">
      <w:pPr>
        <w:numPr>
          <w:ilvl w:val="0"/>
          <w:numId w:val="4"/>
        </w:numPr>
      </w:pPr>
      <w:r w:rsidRPr="00183C45">
        <w:t xml:space="preserve">instead, it operates </w:t>
      </w:r>
      <w:r w:rsidRPr="00183C45">
        <w:rPr>
          <w:b/>
          <w:bCs/>
        </w:rPr>
        <w:t>within</w:t>
      </w:r>
      <w:r w:rsidRPr="00183C45">
        <w:t xml:space="preserve"> the objective of fair presentation.</w:t>
      </w:r>
    </w:p>
    <w:p w14:paraId="44C7F2B5" w14:textId="77777777" w:rsidR="00183C45" w:rsidRPr="00183C45" w:rsidRDefault="00183C45" w:rsidP="00183C45">
      <w:r w:rsidRPr="00183C45">
        <w:t>We agree with the Committee that reading paragraph 19 as overriding paragraph 15 would contradict the structure and intent of IAS 1.</w:t>
      </w:r>
    </w:p>
    <w:p w14:paraId="45B6E1F2" w14:textId="77777777" w:rsidR="00183C45" w:rsidRPr="00183C45" w:rsidRDefault="00C047BC" w:rsidP="00183C45">
      <w:r>
        <w:pict w14:anchorId="2B0F4852">
          <v:rect id="_x0000_i1027" style="width:0;height:1.5pt" o:hralign="center" o:hrstd="t" o:hr="t" fillcolor="#a0a0a0" stroked="f"/>
        </w:pict>
      </w:r>
    </w:p>
    <w:p w14:paraId="1406D2BD" w14:textId="77777777" w:rsidR="00183C45" w:rsidRPr="00183C45" w:rsidRDefault="00183C45" w:rsidP="00183C45">
      <w:pPr>
        <w:rPr>
          <w:b/>
          <w:bCs/>
        </w:rPr>
      </w:pPr>
      <w:r w:rsidRPr="00183C45">
        <w:rPr>
          <w:b/>
          <w:bCs/>
        </w:rPr>
        <w:t>3. Comparison with IAS 8 (Paragraphs 6A–6J)</w:t>
      </w:r>
    </w:p>
    <w:p w14:paraId="64CF5D9F" w14:textId="77777777" w:rsidR="00183C45" w:rsidRPr="00183C45" w:rsidRDefault="00183C45" w:rsidP="00183C45">
      <w:r w:rsidRPr="00183C45">
        <w:lastRenderedPageBreak/>
        <w:t xml:space="preserve">The alignment of the IAS 1 conclusions with </w:t>
      </w:r>
      <w:r w:rsidRPr="00183C45">
        <w:rPr>
          <w:b/>
          <w:bCs/>
        </w:rPr>
        <w:t>IAS 8 (as amended)</w:t>
      </w:r>
      <w:r w:rsidRPr="00183C45">
        <w:t xml:space="preserve"> further strengthens the Committee’s position.</w:t>
      </w:r>
    </w:p>
    <w:p w14:paraId="0247891D" w14:textId="77777777" w:rsidR="00183C45" w:rsidRPr="00183C45" w:rsidRDefault="00183C45" w:rsidP="00183C45">
      <w:r w:rsidRPr="00183C45">
        <w:t>IAS 8 reinforces that:</w:t>
      </w:r>
    </w:p>
    <w:p w14:paraId="0D63C3AD" w14:textId="77777777" w:rsidR="00183C45" w:rsidRPr="00183C45" w:rsidRDefault="00183C45" w:rsidP="00183C45">
      <w:pPr>
        <w:numPr>
          <w:ilvl w:val="0"/>
          <w:numId w:val="5"/>
        </w:numPr>
      </w:pPr>
      <w:r w:rsidRPr="00183C45">
        <w:t>fair presentation is achieved through application of IFRS,</w:t>
      </w:r>
    </w:p>
    <w:p w14:paraId="475688C9" w14:textId="77777777" w:rsidR="00183C45" w:rsidRPr="00183C45" w:rsidRDefault="00183C45" w:rsidP="00183C45">
      <w:pPr>
        <w:numPr>
          <w:ilvl w:val="0"/>
          <w:numId w:val="5"/>
        </w:numPr>
      </w:pPr>
      <w:r w:rsidRPr="00183C45">
        <w:t xml:space="preserve">departures are permitted only in </w:t>
      </w:r>
      <w:r w:rsidRPr="00183C45">
        <w:rPr>
          <w:b/>
          <w:bCs/>
        </w:rPr>
        <w:t>extremely rare circumstances</w:t>
      </w:r>
      <w:r w:rsidRPr="00183C45">
        <w:t>, and</w:t>
      </w:r>
    </w:p>
    <w:p w14:paraId="5DCA55B1" w14:textId="77777777" w:rsidR="00183C45" w:rsidRPr="00183C45" w:rsidRDefault="00183C45" w:rsidP="00183C45">
      <w:pPr>
        <w:numPr>
          <w:ilvl w:val="0"/>
          <w:numId w:val="5"/>
        </w:numPr>
      </w:pPr>
      <w:r w:rsidRPr="00183C45">
        <w:t xml:space="preserve">such departures must still result in </w:t>
      </w:r>
      <w:r w:rsidRPr="00183C45">
        <w:rPr>
          <w:b/>
          <w:bCs/>
        </w:rPr>
        <w:t>reliable and relevant information</w:t>
      </w:r>
      <w:r w:rsidRPr="00183C45">
        <w:t>.</w:t>
      </w:r>
    </w:p>
    <w:p w14:paraId="36465CDD" w14:textId="77777777" w:rsidR="00183C45" w:rsidRPr="00183C45" w:rsidRDefault="00183C45" w:rsidP="00183C45">
      <w:r w:rsidRPr="00183C45">
        <w:t xml:space="preserve">Thus, IAS 1 and IAS 8 operate </w:t>
      </w:r>
      <w:r w:rsidRPr="00183C45">
        <w:rPr>
          <w:b/>
          <w:bCs/>
        </w:rPr>
        <w:t>complementarily</w:t>
      </w:r>
      <w:r w:rsidRPr="00183C45">
        <w:t>, not independently, supporting the Committee’s interpretation.</w:t>
      </w:r>
    </w:p>
    <w:p w14:paraId="446563E6" w14:textId="77777777" w:rsidR="00183C45" w:rsidRPr="00183C45" w:rsidRDefault="00C047BC" w:rsidP="00183C45">
      <w:r>
        <w:pict w14:anchorId="045649D5">
          <v:rect id="_x0000_i1028" style="width:0;height:1.5pt" o:hralign="center" o:hrstd="t" o:hr="t" fillcolor="#a0a0a0" stroked="f"/>
        </w:pict>
      </w:r>
    </w:p>
    <w:p w14:paraId="00B651B0" w14:textId="77777777" w:rsidR="00183C45" w:rsidRPr="00183C45" w:rsidRDefault="00183C45" w:rsidP="00183C45">
      <w:pPr>
        <w:rPr>
          <w:b/>
          <w:bCs/>
        </w:rPr>
      </w:pPr>
      <w:r w:rsidRPr="00183C45">
        <w:rPr>
          <w:b/>
          <w:bCs/>
        </w:rPr>
        <w:t>4. Conceptual Framework Consistency</w:t>
      </w:r>
    </w:p>
    <w:p w14:paraId="6D688C53" w14:textId="77777777" w:rsidR="00183C45" w:rsidRPr="00183C45" w:rsidRDefault="00183C45" w:rsidP="00183C45">
      <w:r w:rsidRPr="00183C45">
        <w:t xml:space="preserve">The Tentative Agenda Decision is consistent with the </w:t>
      </w:r>
      <w:r w:rsidRPr="00183C45">
        <w:rPr>
          <w:b/>
          <w:bCs/>
        </w:rPr>
        <w:t>Conceptual Framework</w:t>
      </w:r>
      <w:r w:rsidRPr="00183C45">
        <w:t>, particularly:</w:t>
      </w:r>
    </w:p>
    <w:p w14:paraId="5EDC3F9E" w14:textId="77777777" w:rsidR="00183C45" w:rsidRPr="00183C45" w:rsidRDefault="00183C45" w:rsidP="00183C45">
      <w:pPr>
        <w:numPr>
          <w:ilvl w:val="0"/>
          <w:numId w:val="6"/>
        </w:numPr>
      </w:pPr>
      <w:r w:rsidRPr="00183C45">
        <w:t>faithful representation,</w:t>
      </w:r>
    </w:p>
    <w:p w14:paraId="42817254" w14:textId="77777777" w:rsidR="00183C45" w:rsidRPr="00183C45" w:rsidRDefault="00183C45" w:rsidP="00183C45">
      <w:pPr>
        <w:numPr>
          <w:ilvl w:val="0"/>
          <w:numId w:val="6"/>
        </w:numPr>
      </w:pPr>
      <w:r w:rsidRPr="00183C45">
        <w:t>relevance, and</w:t>
      </w:r>
    </w:p>
    <w:p w14:paraId="7B0BE9DD" w14:textId="77777777" w:rsidR="00183C45" w:rsidRPr="00183C45" w:rsidRDefault="00183C45" w:rsidP="00183C45">
      <w:pPr>
        <w:numPr>
          <w:ilvl w:val="0"/>
          <w:numId w:val="6"/>
        </w:numPr>
      </w:pPr>
      <w:r w:rsidRPr="00183C45">
        <w:t>neutrality.</w:t>
      </w:r>
    </w:p>
    <w:p w14:paraId="1317ABF7" w14:textId="77777777" w:rsidR="00183C45" w:rsidRPr="00183C45" w:rsidRDefault="00183C45" w:rsidP="00183C45">
      <w:r w:rsidRPr="00183C45">
        <w:t>Allowing an entity to argue that fair presentation no longer applies once a departure is made would:</w:t>
      </w:r>
    </w:p>
    <w:p w14:paraId="0E2CCCC5" w14:textId="77777777" w:rsidR="00183C45" w:rsidRPr="00183C45" w:rsidRDefault="00183C45" w:rsidP="00183C45">
      <w:pPr>
        <w:numPr>
          <w:ilvl w:val="0"/>
          <w:numId w:val="7"/>
        </w:numPr>
      </w:pPr>
      <w:r w:rsidRPr="00183C45">
        <w:t>undermine comparability,</w:t>
      </w:r>
    </w:p>
    <w:p w14:paraId="67B85138" w14:textId="77777777" w:rsidR="00183C45" w:rsidRPr="00183C45" w:rsidRDefault="00183C45" w:rsidP="00183C45">
      <w:pPr>
        <w:numPr>
          <w:ilvl w:val="0"/>
          <w:numId w:val="7"/>
        </w:numPr>
      </w:pPr>
      <w:r w:rsidRPr="00183C45">
        <w:t>increase subjectivity, and</w:t>
      </w:r>
    </w:p>
    <w:p w14:paraId="2510BF44" w14:textId="77777777" w:rsidR="00183C45" w:rsidRPr="00183C45" w:rsidRDefault="00183C45" w:rsidP="00183C45">
      <w:pPr>
        <w:numPr>
          <w:ilvl w:val="0"/>
          <w:numId w:val="7"/>
        </w:numPr>
      </w:pPr>
      <w:r w:rsidRPr="00183C45">
        <w:t>create a pathway for opportunistic accounting.</w:t>
      </w:r>
    </w:p>
    <w:p w14:paraId="0E865917" w14:textId="77777777" w:rsidR="00183C45" w:rsidRPr="00183C45" w:rsidRDefault="00183C45" w:rsidP="00183C45">
      <w:r w:rsidRPr="00183C45">
        <w:t>The Committee’s conclusion appropriately safeguards the discipline and integrity of IFRS application.</w:t>
      </w:r>
    </w:p>
    <w:p w14:paraId="53148279" w14:textId="77777777" w:rsidR="00183C45" w:rsidRPr="00183C45" w:rsidRDefault="00C047BC" w:rsidP="00183C45">
      <w:r>
        <w:pict w14:anchorId="7D5B3443">
          <v:rect id="_x0000_i1029" style="width:0;height:1.5pt" o:hralign="center" o:hrstd="t" o:hr="t" fillcolor="#a0a0a0" stroked="f"/>
        </w:pict>
      </w:r>
    </w:p>
    <w:p w14:paraId="54DE41DC" w14:textId="77777777" w:rsidR="00183C45" w:rsidRPr="00183C45" w:rsidRDefault="00183C45" w:rsidP="00183C45">
      <w:pPr>
        <w:rPr>
          <w:b/>
          <w:bCs/>
        </w:rPr>
      </w:pPr>
      <w:r w:rsidRPr="00183C45">
        <w:rPr>
          <w:b/>
          <w:bCs/>
        </w:rPr>
        <w:t>5. Comparison with Pre-IFRS and Local GAAP Practices</w:t>
      </w:r>
    </w:p>
    <w:p w14:paraId="6D916FF5" w14:textId="77777777" w:rsidR="00183C45" w:rsidRPr="00183C45" w:rsidRDefault="00183C45" w:rsidP="00183C45">
      <w:r w:rsidRPr="00183C45">
        <w:t>In some pre-IFRS or local GAAP regimes, “true and fair override” provisions have occasionally been interpreted as:</w:t>
      </w:r>
    </w:p>
    <w:p w14:paraId="7F80FE70" w14:textId="77777777" w:rsidR="00183C45" w:rsidRPr="00183C45" w:rsidRDefault="00183C45" w:rsidP="00183C45">
      <w:pPr>
        <w:numPr>
          <w:ilvl w:val="0"/>
          <w:numId w:val="8"/>
        </w:numPr>
      </w:pPr>
      <w:r w:rsidRPr="00183C45">
        <w:t>granting broad discretion to management.</w:t>
      </w:r>
    </w:p>
    <w:p w14:paraId="12AE1962" w14:textId="77777777" w:rsidR="00183C45" w:rsidRPr="00183C45" w:rsidRDefault="00183C45" w:rsidP="00183C45">
      <w:r w:rsidRPr="00183C45">
        <w:t>IFRS, by contrast:</w:t>
      </w:r>
    </w:p>
    <w:p w14:paraId="3C108078" w14:textId="77777777" w:rsidR="00183C45" w:rsidRPr="00183C45" w:rsidRDefault="00183C45" w:rsidP="00183C45">
      <w:pPr>
        <w:numPr>
          <w:ilvl w:val="0"/>
          <w:numId w:val="9"/>
        </w:numPr>
      </w:pPr>
      <w:r w:rsidRPr="00183C45">
        <w:t>deliberately constrains such discretion, and</w:t>
      </w:r>
    </w:p>
    <w:p w14:paraId="601D5A74" w14:textId="77777777" w:rsidR="00183C45" w:rsidRPr="00183C45" w:rsidRDefault="00183C45" w:rsidP="00183C45">
      <w:pPr>
        <w:numPr>
          <w:ilvl w:val="0"/>
          <w:numId w:val="9"/>
        </w:numPr>
      </w:pPr>
      <w:r w:rsidRPr="00183C45">
        <w:t>embeds strong disclosure, justification and transparency requirements.</w:t>
      </w:r>
    </w:p>
    <w:p w14:paraId="6123EC54" w14:textId="77777777" w:rsidR="00183C45" w:rsidRPr="00183C45" w:rsidRDefault="00183C45" w:rsidP="00183C45">
      <w:r w:rsidRPr="00183C45">
        <w:t xml:space="preserve">The TAD reinforces this </w:t>
      </w:r>
      <w:r w:rsidRPr="00183C45">
        <w:rPr>
          <w:b/>
          <w:bCs/>
        </w:rPr>
        <w:t>IFRS-specific discipline</w:t>
      </w:r>
      <w:r w:rsidRPr="00183C45">
        <w:t>, reducing the risk of inconsistent interpretations across jurisdictions.</w:t>
      </w:r>
    </w:p>
    <w:p w14:paraId="3A2E4AB4" w14:textId="77777777" w:rsidR="00183C45" w:rsidRPr="00183C45" w:rsidRDefault="00C047BC" w:rsidP="00183C45">
      <w:r>
        <w:pict w14:anchorId="2EF0DDE9">
          <v:rect id="_x0000_i1030" style="width:0;height:1.5pt" o:hralign="center" o:hrstd="t" o:hr="t" fillcolor="#a0a0a0" stroked="f"/>
        </w:pict>
      </w:r>
    </w:p>
    <w:p w14:paraId="1CF49C5B" w14:textId="77777777" w:rsidR="00183C45" w:rsidRPr="00183C45" w:rsidRDefault="00183C45" w:rsidP="00183C45">
      <w:pPr>
        <w:rPr>
          <w:b/>
          <w:bCs/>
        </w:rPr>
      </w:pPr>
      <w:r w:rsidRPr="00183C45">
        <w:rPr>
          <w:b/>
          <w:bCs/>
        </w:rPr>
        <w:t>6. Practical Implications and Implementation Considerations</w:t>
      </w:r>
    </w:p>
    <w:p w14:paraId="6F1F150A" w14:textId="77777777" w:rsidR="00183C45" w:rsidRPr="00183C45" w:rsidRDefault="00183C45" w:rsidP="00183C45">
      <w:r w:rsidRPr="00183C45">
        <w:t xml:space="preserve">We note the Committee’s observation that the fact pattern arises infrequently. However, when it does arise, it has </w:t>
      </w:r>
      <w:r w:rsidRPr="00183C45">
        <w:rPr>
          <w:b/>
          <w:bCs/>
        </w:rPr>
        <w:t>high impact</w:t>
      </w:r>
      <w:r w:rsidRPr="00183C45">
        <w:t>.</w:t>
      </w:r>
    </w:p>
    <w:p w14:paraId="16771380" w14:textId="77777777" w:rsidR="00183C45" w:rsidRPr="00183C45" w:rsidRDefault="00183C45" w:rsidP="00183C45">
      <w:r w:rsidRPr="00183C45">
        <w:t>Key practical implications include:</w:t>
      </w:r>
    </w:p>
    <w:p w14:paraId="7133DA82" w14:textId="77777777" w:rsidR="00183C45" w:rsidRPr="00183C45" w:rsidRDefault="00183C45" w:rsidP="00183C45">
      <w:pPr>
        <w:numPr>
          <w:ilvl w:val="0"/>
          <w:numId w:val="10"/>
        </w:numPr>
      </w:pPr>
      <w:r w:rsidRPr="00183C45">
        <w:rPr>
          <w:b/>
          <w:bCs/>
        </w:rPr>
        <w:t>Documentation burden:</w:t>
      </w:r>
      <w:r w:rsidRPr="00183C45">
        <w:t xml:space="preserve"> Entities must clearly demonstrate why compliance is misleading and how departure achieves fair presentation.</w:t>
      </w:r>
    </w:p>
    <w:p w14:paraId="6D52923A" w14:textId="77777777" w:rsidR="00183C45" w:rsidRPr="00183C45" w:rsidRDefault="00183C45" w:rsidP="00183C45">
      <w:pPr>
        <w:numPr>
          <w:ilvl w:val="0"/>
          <w:numId w:val="10"/>
        </w:numPr>
      </w:pPr>
      <w:r w:rsidRPr="00183C45">
        <w:rPr>
          <w:b/>
          <w:bCs/>
        </w:rPr>
        <w:t>Disclosure expectations:</w:t>
      </w:r>
      <w:r w:rsidRPr="00183C45">
        <w:t xml:space="preserve"> Extensive disclosures under IAS 1 paragraph 20 remain critical.</w:t>
      </w:r>
    </w:p>
    <w:p w14:paraId="13C0B595" w14:textId="77777777" w:rsidR="00183C45" w:rsidRPr="00183C45" w:rsidRDefault="00183C45" w:rsidP="00183C45">
      <w:pPr>
        <w:numPr>
          <w:ilvl w:val="0"/>
          <w:numId w:val="10"/>
        </w:numPr>
      </w:pPr>
      <w:r w:rsidRPr="00183C45">
        <w:rPr>
          <w:b/>
          <w:bCs/>
        </w:rPr>
        <w:lastRenderedPageBreak/>
        <w:t>Audit and regulatory scrutiny:</w:t>
      </w:r>
      <w:r w:rsidRPr="00183C45">
        <w:t xml:space="preserve"> Clear articulation of continued compliance with paragraph 15 will be essential.</w:t>
      </w:r>
    </w:p>
    <w:p w14:paraId="6302C801" w14:textId="77777777" w:rsidR="00183C45" w:rsidRPr="00183C45" w:rsidRDefault="00183C45" w:rsidP="00183C45">
      <w:r w:rsidRPr="00183C45">
        <w:t>The TAD provides helpful clarity for preparers, auditors and regulators in these rare but sensitive cases.</w:t>
      </w:r>
    </w:p>
    <w:p w14:paraId="7CBFB503" w14:textId="77777777" w:rsidR="00183C45" w:rsidRPr="00183C45" w:rsidRDefault="00C047BC" w:rsidP="00183C45">
      <w:r>
        <w:pict w14:anchorId="697DF8F3">
          <v:rect id="_x0000_i1031" style="width:0;height:1.5pt" o:hralign="center" o:hrstd="t" o:hr="t" fillcolor="#a0a0a0" stroked="f"/>
        </w:pict>
      </w:r>
    </w:p>
    <w:p w14:paraId="61902E72" w14:textId="77777777" w:rsidR="00183C45" w:rsidRPr="00183C45" w:rsidRDefault="00183C45" w:rsidP="00183C45">
      <w:pPr>
        <w:rPr>
          <w:b/>
          <w:bCs/>
        </w:rPr>
      </w:pPr>
      <w:r w:rsidRPr="00183C45">
        <w:rPr>
          <w:b/>
          <w:bCs/>
        </w:rPr>
        <w:t>7. Suggestions for Further Clarification (Non-Standard-Setting)</w:t>
      </w:r>
    </w:p>
    <w:p w14:paraId="7352BD14" w14:textId="77777777" w:rsidR="00183C45" w:rsidRPr="00183C45" w:rsidRDefault="00183C45" w:rsidP="00183C45">
      <w:r w:rsidRPr="00183C45">
        <w:t>While we agree that no standard-setting project is required, we suggest that:</w:t>
      </w:r>
    </w:p>
    <w:p w14:paraId="482C9729" w14:textId="77777777" w:rsidR="00183C45" w:rsidRPr="00183C45" w:rsidRDefault="00183C45" w:rsidP="00183C45">
      <w:pPr>
        <w:numPr>
          <w:ilvl w:val="0"/>
          <w:numId w:val="11"/>
        </w:numPr>
      </w:pPr>
      <w:r w:rsidRPr="00183C45">
        <w:t xml:space="preserve">a </w:t>
      </w:r>
      <w:r w:rsidRPr="00183C45">
        <w:rPr>
          <w:b/>
          <w:bCs/>
        </w:rPr>
        <w:t>brief illustrative example</w:t>
      </w:r>
      <w:r w:rsidRPr="00183C45">
        <w:t xml:space="preserve"> be included in educational or implementation material, showing:</w:t>
      </w:r>
    </w:p>
    <w:p w14:paraId="71AFD323" w14:textId="77777777" w:rsidR="00183C45" w:rsidRPr="00183C45" w:rsidRDefault="00183C45" w:rsidP="00183C45">
      <w:pPr>
        <w:numPr>
          <w:ilvl w:val="1"/>
          <w:numId w:val="11"/>
        </w:numPr>
      </w:pPr>
      <w:r w:rsidRPr="00183C45">
        <w:t>a permitted departure under paragraph 19, and</w:t>
      </w:r>
    </w:p>
    <w:p w14:paraId="0143DE5B" w14:textId="77777777" w:rsidR="00183C45" w:rsidRPr="00183C45" w:rsidRDefault="00183C45" w:rsidP="00183C45">
      <w:pPr>
        <w:numPr>
          <w:ilvl w:val="1"/>
          <w:numId w:val="11"/>
        </w:numPr>
      </w:pPr>
      <w:r w:rsidRPr="00183C45">
        <w:t>how fair presentation under paragraph 15 continues to be satisfied.</w:t>
      </w:r>
    </w:p>
    <w:p w14:paraId="23B5E742" w14:textId="77777777" w:rsidR="00183C45" w:rsidRPr="00183C45" w:rsidRDefault="00183C45" w:rsidP="00183C45">
      <w:r w:rsidRPr="00183C45">
        <w:t>Such guidance would enhance consistent application without amending IAS 1.</w:t>
      </w:r>
    </w:p>
    <w:p w14:paraId="14758A2D" w14:textId="77777777" w:rsidR="00183C45" w:rsidRPr="00183C45" w:rsidRDefault="00C047BC" w:rsidP="00183C45">
      <w:r>
        <w:pict w14:anchorId="20C48328">
          <v:rect id="_x0000_i1032" style="width:0;height:1.5pt" o:hralign="center" o:hrstd="t" o:hr="t" fillcolor="#a0a0a0" stroked="f"/>
        </w:pict>
      </w:r>
    </w:p>
    <w:p w14:paraId="7C428BFD" w14:textId="77777777" w:rsidR="00183C45" w:rsidRPr="00183C45" w:rsidRDefault="00183C45" w:rsidP="00183C45">
      <w:pPr>
        <w:rPr>
          <w:b/>
          <w:bCs/>
        </w:rPr>
      </w:pPr>
      <w:r w:rsidRPr="00183C45">
        <w:rPr>
          <w:b/>
          <w:bCs/>
        </w:rPr>
        <w:t>8. Conclusion</w:t>
      </w:r>
    </w:p>
    <w:p w14:paraId="200174D7" w14:textId="77777777" w:rsidR="00183C45" w:rsidRPr="00183C45" w:rsidRDefault="00183C45" w:rsidP="00183C45">
      <w:r w:rsidRPr="00183C45">
        <w:t>We support the Tentative Agenda Decision and agree with the Committee’s conclusion that:</w:t>
      </w:r>
    </w:p>
    <w:p w14:paraId="72EC2B01" w14:textId="77777777" w:rsidR="00183C45" w:rsidRPr="00183C45" w:rsidRDefault="00183C45" w:rsidP="00183C45">
      <w:pPr>
        <w:numPr>
          <w:ilvl w:val="0"/>
          <w:numId w:val="12"/>
        </w:numPr>
      </w:pPr>
      <w:r w:rsidRPr="00183C45">
        <w:t>compliance with the fair presentation requirement in IAS 1 paragraph 15 remains mandatory, even when an entity departs from a specific IFRS requirement under paragraph 19.</w:t>
      </w:r>
    </w:p>
    <w:p w14:paraId="693AA977" w14:textId="77777777" w:rsidR="00183C45" w:rsidRPr="00183C45" w:rsidRDefault="00183C45" w:rsidP="00183C45">
      <w:r w:rsidRPr="00183C45">
        <w:t>The TAD appropriately reinforces the principles-based nature of IFRS and promotes consistency, discipline and transparency in financial reporting.</w:t>
      </w:r>
    </w:p>
    <w:p w14:paraId="0A842DD9" w14:textId="77777777" w:rsidR="00183C45" w:rsidRPr="00183C45" w:rsidRDefault="00183C45" w:rsidP="00183C45">
      <w:r w:rsidRPr="00183C45">
        <w:t>We appreciate the opportunity to submit our comments.</w:t>
      </w:r>
    </w:p>
    <w:p w14:paraId="0BDF9BBA" w14:textId="77777777" w:rsidR="00183C45" w:rsidRPr="00183C45" w:rsidRDefault="00183C45" w:rsidP="00183C45">
      <w:r w:rsidRPr="00183C45">
        <w:t>Yours faithfully,</w:t>
      </w:r>
    </w:p>
    <w:p w14:paraId="1C65E366" w14:textId="6ECA185C" w:rsidR="00183C45" w:rsidRDefault="00183C45" w:rsidP="00183C45">
      <w:r w:rsidRPr="00183C45">
        <w:rPr>
          <w:b/>
          <w:bCs/>
        </w:rPr>
        <w:t>For and on behalf of</w:t>
      </w:r>
      <w:r w:rsidRPr="00183C45">
        <w:br/>
      </w:r>
      <w:r>
        <w:t>CA Harshal Lodha</w:t>
      </w:r>
    </w:p>
    <w:p w14:paraId="7FFC1E26" w14:textId="311850D6" w:rsidR="00066DEA" w:rsidRDefault="00066DEA" w:rsidP="00183C45">
      <w:r>
        <w:t>Membership No.-191475</w:t>
      </w:r>
    </w:p>
    <w:p w14:paraId="05B8ED46" w14:textId="77777777" w:rsidR="00183C45" w:rsidRPr="00183C45" w:rsidRDefault="00183C45" w:rsidP="00183C45"/>
    <w:p w14:paraId="0BD175B5" w14:textId="54378E7A" w:rsidR="00183C45" w:rsidRPr="00183C45" w:rsidRDefault="00183C45" w:rsidP="00183C45"/>
    <w:sectPr w:rsidR="00183C45" w:rsidRPr="00183C45" w:rsidSect="000A2560">
      <w:pgSz w:w="11906" w:h="16838"/>
      <w:pgMar w:top="433" w:right="566" w:bottom="1134" w:left="567" w:header="709" w:footer="22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F2D4C"/>
    <w:multiLevelType w:val="multilevel"/>
    <w:tmpl w:val="E8B4D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623972"/>
    <w:multiLevelType w:val="multilevel"/>
    <w:tmpl w:val="FBCC8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BD337B"/>
    <w:multiLevelType w:val="multilevel"/>
    <w:tmpl w:val="4208C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8E0F51"/>
    <w:multiLevelType w:val="multilevel"/>
    <w:tmpl w:val="7F844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9B1114"/>
    <w:multiLevelType w:val="multilevel"/>
    <w:tmpl w:val="A11E6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865AF4"/>
    <w:multiLevelType w:val="multilevel"/>
    <w:tmpl w:val="36B08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8A61F0"/>
    <w:multiLevelType w:val="multilevel"/>
    <w:tmpl w:val="1E24A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175AF0"/>
    <w:multiLevelType w:val="multilevel"/>
    <w:tmpl w:val="F0AA7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4D5DA6"/>
    <w:multiLevelType w:val="multilevel"/>
    <w:tmpl w:val="F19EB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4B43FE"/>
    <w:multiLevelType w:val="multilevel"/>
    <w:tmpl w:val="51D0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5D289E"/>
    <w:multiLevelType w:val="multilevel"/>
    <w:tmpl w:val="FE800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4262256"/>
    <w:multiLevelType w:val="multilevel"/>
    <w:tmpl w:val="EAC8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FC339B"/>
    <w:multiLevelType w:val="multilevel"/>
    <w:tmpl w:val="FA206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222203">
    <w:abstractNumId w:val="0"/>
  </w:num>
  <w:num w:numId="2" w16cid:durableId="339167285">
    <w:abstractNumId w:val="11"/>
  </w:num>
  <w:num w:numId="3" w16cid:durableId="465271086">
    <w:abstractNumId w:val="8"/>
  </w:num>
  <w:num w:numId="4" w16cid:durableId="1401706011">
    <w:abstractNumId w:val="6"/>
  </w:num>
  <w:num w:numId="5" w16cid:durableId="117916160">
    <w:abstractNumId w:val="2"/>
  </w:num>
  <w:num w:numId="6" w16cid:durableId="2021466778">
    <w:abstractNumId w:val="5"/>
  </w:num>
  <w:num w:numId="7" w16cid:durableId="697196246">
    <w:abstractNumId w:val="4"/>
  </w:num>
  <w:num w:numId="8" w16cid:durableId="1238007755">
    <w:abstractNumId w:val="12"/>
  </w:num>
  <w:num w:numId="9" w16cid:durableId="1680766449">
    <w:abstractNumId w:val="9"/>
  </w:num>
  <w:num w:numId="10" w16cid:durableId="1801604299">
    <w:abstractNumId w:val="10"/>
  </w:num>
  <w:num w:numId="11" w16cid:durableId="1695302050">
    <w:abstractNumId w:val="7"/>
  </w:num>
  <w:num w:numId="12" w16cid:durableId="634026536">
    <w:abstractNumId w:val="3"/>
  </w:num>
  <w:num w:numId="13" w16cid:durableId="20511772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8B8"/>
    <w:rsid w:val="00066DEA"/>
    <w:rsid w:val="000A2560"/>
    <w:rsid w:val="00183C45"/>
    <w:rsid w:val="001D6927"/>
    <w:rsid w:val="00322F72"/>
    <w:rsid w:val="00332E5C"/>
    <w:rsid w:val="0038319A"/>
    <w:rsid w:val="004C68B8"/>
    <w:rsid w:val="006E1E19"/>
    <w:rsid w:val="008C7C16"/>
    <w:rsid w:val="009E4406"/>
    <w:rsid w:val="00A3429C"/>
    <w:rsid w:val="00BC780A"/>
    <w:rsid w:val="00C1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35908"/>
  <w15:chartTrackingRefBased/>
  <w15:docId w15:val="{06DF3106-3DA5-452B-80D4-EE6F98A2D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68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68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68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68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68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68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68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68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68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68B8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68B8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68B8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68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68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68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68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68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68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68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C68B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68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C68B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C68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68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68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68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68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68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68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749</Words>
  <Characters>4270</Characters>
  <Application>Microsoft Office Word</Application>
  <DocSecurity>0</DocSecurity>
  <Lines>35</Lines>
  <Paragraphs>10</Paragraphs>
  <ScaleCrop>false</ScaleCrop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VAIBHAV MODI</dc:creator>
  <cp:keywords/>
  <dc:description/>
  <cp:lastModifiedBy>VAIBHAV MODI</cp:lastModifiedBy>
  <cp:revision>3</cp:revision>
  <dcterms:created xsi:type="dcterms:W3CDTF">2025-12-29T07:24:00Z</dcterms:created>
  <dcterms:modified xsi:type="dcterms:W3CDTF">2025-12-30T12:33:00Z</dcterms:modified>
</cp:coreProperties>
</file>